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911087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  <w:r w:rsidR="009110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970F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ЮКТА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F23D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F23D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мая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767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r w:rsidR="00F23D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066E62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услуг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066E62"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E62" w:rsidRDefault="00066E62" w:rsidP="0015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разместить на сайте 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</w:t>
      </w:r>
      <w:r w:rsidR="0097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Юкта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7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https://yukta-r04.gosweb.gosuslugi.ru/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66E62" w:rsidRPr="00066E62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утратившими силу постановления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Юкта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6E62" w:rsidRPr="00F23DCF" w:rsidRDefault="008C3AC7" w:rsidP="00713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379C" w:rsidRPr="00F23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21.06.2019г. №15-п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EF22D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опубликования его в </w:t>
      </w:r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97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3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CD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О.Э. Алексеева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0989" w:rsidRDefault="00B30989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23DCF" w:rsidRDefault="00F23DCF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Приложение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lastRenderedPageBreak/>
        <w:t>к Постановлению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970F0A">
        <w:rPr>
          <w:color w:val="000000" w:themeColor="text1"/>
          <w:sz w:val="20"/>
          <w:szCs w:val="20"/>
        </w:rPr>
        <w:t>Юкта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 w:rsidR="00F23DCF">
        <w:rPr>
          <w:color w:val="000000" w:themeColor="text1"/>
          <w:sz w:val="20"/>
          <w:szCs w:val="20"/>
        </w:rPr>
        <w:t>08</w:t>
      </w:r>
      <w:r w:rsidRPr="00436D5F">
        <w:rPr>
          <w:color w:val="000000" w:themeColor="text1"/>
          <w:sz w:val="20"/>
          <w:szCs w:val="20"/>
        </w:rPr>
        <w:t>.</w:t>
      </w:r>
      <w:r w:rsidR="00F23DCF">
        <w:rPr>
          <w:color w:val="000000" w:themeColor="text1"/>
          <w:sz w:val="20"/>
          <w:szCs w:val="20"/>
        </w:rPr>
        <w:t>05</w:t>
      </w:r>
      <w:r w:rsidR="00436D5F">
        <w:rPr>
          <w:color w:val="000000" w:themeColor="text1"/>
          <w:sz w:val="20"/>
          <w:szCs w:val="20"/>
        </w:rPr>
        <w:t>.2024</w:t>
      </w:r>
      <w:r w:rsidRPr="00436D5F">
        <w:rPr>
          <w:color w:val="000000" w:themeColor="text1"/>
          <w:sz w:val="20"/>
          <w:szCs w:val="20"/>
        </w:rPr>
        <w:t xml:space="preserve"> г. № </w:t>
      </w:r>
      <w:r w:rsidR="00F23DCF">
        <w:rPr>
          <w:color w:val="000000" w:themeColor="text1"/>
          <w:sz w:val="20"/>
          <w:szCs w:val="20"/>
        </w:rPr>
        <w:t>28</w:t>
      </w:r>
      <w:r w:rsidRPr="00436D5F">
        <w:rPr>
          <w:color w:val="000000" w:themeColor="text1"/>
          <w:sz w:val="20"/>
          <w:szCs w:val="20"/>
        </w:rPr>
        <w:t xml:space="preserve">-п 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Утверждена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Постановлением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970F0A">
        <w:rPr>
          <w:color w:val="000000" w:themeColor="text1"/>
          <w:sz w:val="20"/>
          <w:szCs w:val="20"/>
        </w:rPr>
        <w:t>Юкта</w:t>
      </w:r>
    </w:p>
    <w:p w:rsidR="00F23DCF" w:rsidRPr="00436D5F" w:rsidRDefault="00F23DCF" w:rsidP="00F23DCF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08</w:t>
      </w:r>
      <w:r w:rsidRPr="00436D5F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05.2024</w:t>
      </w:r>
      <w:r w:rsidRPr="00436D5F">
        <w:rPr>
          <w:color w:val="000000" w:themeColor="text1"/>
          <w:sz w:val="20"/>
          <w:szCs w:val="20"/>
        </w:rPr>
        <w:t xml:space="preserve"> г. № </w:t>
      </w:r>
      <w:r>
        <w:rPr>
          <w:color w:val="000000" w:themeColor="text1"/>
          <w:sz w:val="20"/>
          <w:szCs w:val="20"/>
        </w:rPr>
        <w:t>28</w:t>
      </w:r>
      <w:r w:rsidRPr="00436D5F">
        <w:rPr>
          <w:color w:val="000000" w:themeColor="text1"/>
          <w:sz w:val="20"/>
          <w:szCs w:val="20"/>
        </w:rPr>
        <w:t xml:space="preserve">-п </w:t>
      </w:r>
    </w:p>
    <w:p w:rsidR="00A47C54" w:rsidRPr="00436D5F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36D5F">
        <w:rPr>
          <w:color w:val="000000" w:themeColor="text1"/>
        </w:rPr>
        <w:t> 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436D5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436D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Предмет регулирования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Заявителями на получение муниципальной услуги являются собственники помещений или уполномоченные ими лица.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Порядок информирования заявителей о предоставлении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1.3.1. Сведения о месте нахождения, контактных телефонах и графике работы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организаций, участвующих в предоставлении муниципальной услуги, многофункционального центра (далее – МФЦ):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</w:t>
      </w:r>
      <w:r w:rsidR="00970F0A" w:rsidRP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648591, Красноярский край, Эвенкийский район, п. Юкта, ул. </w:t>
      </w:r>
      <w:proofErr w:type="gramStart"/>
      <w:r w:rsidR="00970F0A" w:rsidRP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Центральная</w:t>
      </w:r>
      <w:proofErr w:type="gramEnd"/>
      <w:r w:rsidR="00970F0A" w:rsidRP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 3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Телефон/факс: 8 (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3917</w:t>
      </w:r>
      <w:r w:rsid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34-550</w:t>
      </w:r>
      <w:r w:rsidR="00B8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почты: </w:t>
      </w:r>
      <w:proofErr w:type="spellStart"/>
      <w:r w:rsidR="00970F0A" w:rsidRP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yukta.glava@evenkya.ru</w:t>
      </w:r>
      <w:proofErr w:type="spellEnd"/>
      <w:r w:rsidR="00B74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понедельник - пя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тница с 08.00 час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17.00 час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перерыв с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 час. до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11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час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выходные - суббота, воскресенье.</w:t>
      </w:r>
    </w:p>
    <w:p w:rsidR="00066E62" w:rsidRPr="00EE40C0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 филиала по работе с заявителями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Краевое государственное бюджетное учреждение «Многофункциональный центр предоставления государственных и 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услуг» в п.Тура</w:t>
      </w: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66E62" w:rsidRPr="00EE40C0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край, Эвенкийский район, п. Тура, ул. Школьная, д. 23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8 (39170) 3-10-74, 8 (39170) 3-15-31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работы МФЦ, осуществляющего прием заявителей на предоставление муниципальной услуги, а также консультирование по вопросам предоставления муниципальной услуги: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пятница с 9.00 до 18.00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– суббота, воскресенье.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1.3.2. Информацию о порядке предоставления муниципальной услуги заявитель может получить: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в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(информационные стенды, устное информирование по телефону, а также на личном приеме муниципальными служащими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почте, в том числе электронной (адрес электронной почты), в случае письменного обращения заявителя;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 администрации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(адрес сайта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https://yukta-r04.gosweb.gosuslugi.ru/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на Едином портале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Муниципальная услуга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также уполномоченный орган).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о переводе жилого помещения в нежилое помещение и нежилого помещения в жилое помещение в форме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Срок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</w:t>
      </w:r>
      <w:bookmarkStart w:id="0" w:name="Par104"/>
      <w:bookmarkEnd w:id="0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066E62" w:rsidRPr="00436D5F" w:rsidRDefault="00677B4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Конституция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(«Российская газета», № 7, 21.01.2009, Собрание законодательства Российской Федерации, 26.01.2009, № 4, ст. 445, «Парламентская газета», № 4, 23 - 29.01.2009);</w:t>
      </w:r>
    </w:p>
    <w:p w:rsidR="00066E62" w:rsidRPr="00436D5F" w:rsidRDefault="00677B4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Жилищный кодекс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066E62" w:rsidRPr="00436D5F" w:rsidRDefault="00677B4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Градостроительный кодекс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 закон от 06.10.2003 № 131-ФЗ «</w:t>
      </w:r>
      <w:hyperlink r:id="rId10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27.07.2010 № 210-ФЗ «</w:t>
      </w:r>
      <w:hyperlink r:id="rId11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(Собрание законодательства Российской Федерации, 02.08.2010, № 31, ст. 4179, «Российская газета», № 168, 30.07.2010);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10.08.2005 № 502 «</w:t>
      </w:r>
      <w:hyperlink r:id="rId12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формы уведомления о переводе (отказе в переводе) жилого (нежилого) помещения в нежилое (жилое) помещение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РФ», 15.08.2005, № 33, ст. 3430, «Российская газета», № 180, 17.08.2005);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28.01.2006 № 47 «</w:t>
      </w:r>
      <w:hyperlink r:id="rId13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</w:t>
        </w:r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подлежащим сносу или реконструкции, садового дома жилым домом и жилого дома садовым домом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РФ», 06.02.2006, № 6, ст. 702, «Российская газета», № 28, 10.02.2006);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Правительства Российской Федерации от 17.12.2009 № 1993-р «</w:t>
      </w:r>
      <w:hyperlink r:id="rId14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сводного перечня первоочередных государственных и муниципальных услуг, предоставляемых в электронном виде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газета", № 247, 23.12.2009, «Собрание законодательства РФ», 28.12.2009, № 52 (2 ч.), ст. 6626);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677B45">
        <w:fldChar w:fldCharType="begin"/>
      </w:r>
      <w:r w:rsidR="00BD5E31">
        <w:instrText>HYPERLINK "http://pravo.minjust.ru/"</w:instrText>
      </w:r>
      <w:r w:rsidR="00677B45">
        <w:fldChar w:fldCharType="separate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остановление</w:t>
      </w:r>
      <w:r w:rsidR="00677B45">
        <w:fldChar w:fldCharType="end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Правительства Российской Федерации от 25.06.2012 № 634 «</w:t>
      </w:r>
      <w:hyperlink r:id="rId15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газета», 02 июля 2012 г. № 148);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25.08.2012 № 852 «</w:t>
      </w:r>
      <w:hyperlink r:id="rId16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 предоставления государственных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газета», № 200, 31.08.2012, «Собрание законодательства РФ», 03.09.2012, № 36, ст. 4903);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25.01.2013 № 33 «</w:t>
      </w:r>
      <w:hyperlink r:id="rId17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использовании простой электронной подписи при оказании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(Официальный интернет-портал правовой информации http://www.pravo.gov.ru, 23.11.2018, «Собрание законодательства РФ», 04.02.2013, № 5, ст. 377);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26.03.2016 № 236 «</w:t>
      </w:r>
      <w:hyperlink r:id="rId18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требованиях к предоставлению в электронной форме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Исчерпывающий перечень документов, необходимых для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 Исчерпывающий перечень документов, необходимых в соответствии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законодательными и иными нормативными правовыми актами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предоставления муниципальной услуги, подлежащих представлению заявителями: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заявление о переводе помещения (далее – заявление);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необходимости дополнительной подачи заявления в какой-либо иной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 Перечень документов (сведений), которые заявитель вправе представить по собственной инициативе: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поэтажный план дома, в котором находится переводимое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2.6.3. Заявление и документы, указанные в пунктах 2.6.1, 2.6.2 настоящего административного регламента, могут быть представлены заявителями по их выбору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уполномоченный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 или МФЦ лично, либо направлены посредством почтовой связи на 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должны быть заверены в установленном законодательством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в форме электронного документа подписывается по выбору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простой электронной подписью заявителя (представителя заявителя);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заявлению также прилагается доверенность в виде электронного образа такого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2.6.4. Запрещается требовать от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9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1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27.07.2010 № 210-ФЗ «</w:t>
      </w:r>
      <w:hyperlink r:id="rId20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Об </w:t>
        </w:r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Федеральный закон № 210-ФЗ) муниципальных услуг, в соответствии с нормативными правовыми актами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 </w:t>
      </w:r>
      <w:hyperlink r:id="rId21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6 статьи 7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 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указывается вид, реквизиты и заголовок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соответствующего решения представительного органа местного самоуправления;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муниципальной услуги, уведомляется заявитель, а также приносятся извинения за доставленные неудобства;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 квалифицированной подписи выявлено несоблюдение установленных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статьей 11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06.04.2011 № 63-ФЗ «Об электронной подписи» (далее – Федеральный закон № 63-ФЗ) условий признания ее действительности.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Основания для приостановления предоставления муниципальной услуги отсутствуют.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2.8.2. Отказ в переводе жилого помещения в нежилое помещение или нежилого помещения в жилое помещение допускается в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поступления в орган, осуществляющий перевод помещений, ответа на межведомственный запрос, свидетельствующего об отсутствии документа и (или) 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и не получил от заявителя такие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 и (или) информацию в течение пятнадцати рабочих дней со дня направления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представления документов в ненадлежащий орган;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несоблюдения предусмотренных Жилищным кодексом Российской Федерации и законодательством о градостроительной деятельности условий перевода помещения</w:t>
      </w:r>
      <w:bookmarkStart w:id="1" w:name="_ftnref1"/>
      <w:bookmarkEnd w:id="1"/>
      <w:r w:rsidR="00677B4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"https://pravo-search.minjust.ru/bigs/showDocument.html?id=DD0146D6-CFD8-44D0-AEE4-42D1935800BB" \l "_ftn1" </w:instrText>
      </w:r>
      <w:r w:rsidR="00677B4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[1]</w:t>
      </w:r>
      <w:r w:rsidR="00677B4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 Муниципальная услуга предоставляется бесплатно.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Максимальное время ожидания в очереди при подаче обращения и при получении результата предоставления муниципальной услуги составляет 15 минут.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Срок регистрации заявления и прилагаемых к нему документов составляет: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поступлении заявления и документов по почте, электронной почте, посредством Единого портала государственных и муниципальных услуг или через МФЦ – не более 3 дней со дня поступления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2.12.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2.12.1. Требования к помещениям, в которых предоставляется муниципальная услуга.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должны соответствовать санитарным правилам </w:t>
      </w:r>
      <w:hyperlink r:id="rId22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2.2.3670-20 «Санитарно-эпидемиологические требования к условиям труда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утвержденным 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2.12.2. Требования к местам ожидания.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2.12.3. Требования к местам приема заявителей.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2.12.4. Требования к информационным стендам.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электронной почты и адреса Интернет-сайтов;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муниципальных услуг (</w:t>
      </w:r>
      <w:hyperlink r:id="rId23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также на официальном сайте уполномоченного органа (адрес сайта 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https://yukta-r04.gosweb.gosuslugi.ru/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визуальной, текстовой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мультимедийной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2.12.5. Требования к обеспечению доступности предоставления муниципальной услуги для инвалидов.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допуск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иной необходимой помощи инвалидам в преодолении барьеров, препятствующих получению ими услуг наравне с другими лицами.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Показателями 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 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уполномоченного органа.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процедур, действий, выполнение которых обеспечивается заявителю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 в электронной форме,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предоставления муниципальной услуги через МФЦ установлены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разделе 3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Предоставление муниципальной услуги включает в себя следующие административные процедуры: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прием и регистрация заявления и документов (отказ в приеме к рассмотрению заявления и документов);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Прием и регистрация заявления и документов (отказ в приеме к рассмотрению заявления и документов).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При приеме заявления и документов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ответственное за прием и регистрацию заявления, 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 при необходимости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делает копию с представленных заявителем подлинников документов и заверяет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ответственное за прием и регистрацию заявления,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прилагаемые к нему документы, поступившие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электронном виде, регистрируются в общем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 В случае предоставления документов через МФЦ расписка выдается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3.1.4. При поступлении заявления по почте должностное лицо уполномоченного органа, ответственное за предоставление муниципальной услуги,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уведомление о получении заявления).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3.1.5.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проверку соблюдения условий, указанных в статье 11 Федерального закона № 63-ФЗ.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 № 63-ФЗ, которые послужили основанием для принятия указанного решения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 поступлении заявления и документов по почте или через МФЦ – не более </w:t>
      </w:r>
      <w:bookmarkStart w:id="2" w:name="_ftnref2"/>
      <w:bookmarkEnd w:id="2"/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со дня поступления в уполномоченный орган;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 подписи заявителя несоблюдения установленных условий признания ее действительности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Формирование и направление межведомственных запросов в органы (организации)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участвующие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Основанием для начала административной процедуры является получение заявления и документов должностным лицом уполномоченного органа, ответственным за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и направляет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 Максимальный срок исполнения административной процедуры - 10 дней со дня окончания приема документов и регистрации заявления.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 </w:t>
      </w:r>
      <w:hyperlink r:id="rId24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2.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3.3.3. По итогам рассмотрения заявления уполномоченный орган: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(далее также уведомление о переводе (отказе в переводе) жилого (нежилого) помещения в нежилое (жилое) помещение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уведомление).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для обеспечения 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помещения»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  <w:proofErr w:type="gramEnd"/>
    </w:p>
    <w:p w:rsidR="00066E62" w:rsidRPr="00436D5F" w:rsidRDefault="00066E62" w:rsidP="00DF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 </w:t>
      </w:r>
      <w:hyperlink r:id="rId25" w:anchor="/document/71129192/entry/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13 июля 2015 года N 218-ФЗ "О государственной регистрации недвижимости". Завершение переустройства, и (или) перепланировки, и (или) иных работ подтверждается актом приемочной комиссии, сформированной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акт приемочной комиссии). Утверждение акта приемочной комиссии осуществляется в срок, не превышающий тридцати дней со дня получения органом, осуществляющим перевод помещений, указанного в настоящем пункте уведомления. Перевод жилого помещения в нежилое помещение или нежилого помещения в жилое помещение, для осуществления которого требовалось проведение переустройства и (или) иных работ в соответствии с документом, подтверждающим принятие решения о переводе помещения, считается оконченным со дня внесения изменений в сведения Единого государственного реестра недвижимости о назначении помещения.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жилого помещения в нежилое помещение или нежилого помещения 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 считается оконченным со дня внесения изменений в сведения Единого государственного реестра недвижимости о границах и (или) площади и назначении такого помещения или 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образованные помещения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3.3.4.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 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3.3.5. Максимальный срок исполнения административной процедуры -30 дней с момента получения должностным лицом уполномоченного органа, ответственным за предоставление муниципальной услуги, 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уведомления о переводе жилого помещения в нежилое помещение и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уведомления об отказе в переводе 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 (далее – действия):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на прием в уполномоченный орган для подачи запроса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сведений о ходе выполнения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Формы </w:t>
      </w:r>
      <w:proofErr w:type="gramStart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должностными лицами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 осуществляется руководителем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основании распоряжения руководителя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участвующими в предоставлении муниципальной услуги, 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4.2.2. Внеплановых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 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Должностные 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Досудебный (внесудебный) порядок обжалования решений и действий (бездействия) </w:t>
      </w:r>
      <w:r w:rsidR="00DF6235"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Заявитель может обратиться с жалобой на решения и действия (бездействие)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а также их должностных лиц, муниципальных служащих, работников в следующих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 муниципальной услуги в полном объеме в порядке, определенном </w:t>
      </w:r>
      <w:hyperlink r:id="rId26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 для предоставления муниципальной услуги, у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7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066E62" w:rsidRPr="00436D5F" w:rsidRDefault="00436D5F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отказ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должностного 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МФЦ, работника МФЦ, 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 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066E62" w:rsidRPr="00436D5F" w:rsidRDefault="00066E62" w:rsidP="00C07D5D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 либо в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социальной политики 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учредитель МФЦ).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муниципального служащего, руководителя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 Единого портала государственных и муниципальных услуг, а также может быть принята при личном приеме заявителя.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исполнительно-распорядительного органа муниципального образования,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муниципального служащего, МФЦ, его руководителя и (или) работника, их руководителей и (или) работников, решения и действия (бездействие) которых обжалуются;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должностного лица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либо муниципального служащего, МФЦ, работника МФЦ, их работников;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муниципального служащего, МФЦ, работника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работниками МФЦ, в течение трех дней со дня ее поступления.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Жалоба, поступившая в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учредителю МФЦ, подлежит рассмотрению в течение пятнадцати рабочих дней со дня ее регистрации, а в случае обжалования отказа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МФЦ, организаций, в приеме документов у заявителя либо в исправлении допущенных опечаток и ошибок или в случае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В случае если в жалобе не указана фамилия заявителя, направившего жалобу, и (или) почтовый адрес, по которому должен быть направлен ответ, ответ на жалобу не дается.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 </w:t>
      </w:r>
      <w:hyperlink r:id="rId28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 </w:t>
      </w:r>
      <w:hyperlink r:id="rId29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 жалобе не приводятся новые доводы или обстоятельства, должностное лицо, работник, наделенные полномочиями по рассмотрению жалоб в соответствии с </w:t>
      </w:r>
      <w:hyperlink r:id="rId3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правомерными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и (или) действий (бездействия)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должностных лиц, муниципальных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работника МФЦ, или их работников, участвующих в предоставлении муниципальной услуги,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приносятся извинения за доставленные неудобства и указывается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преступления должностное лицо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970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Юкта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должностных лиц МФЦ, в судебном порядке в соответствии с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 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66E62" w:rsidRPr="00436D5F" w:rsidRDefault="00066E62" w:rsidP="00436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F0179" w:rsidRPr="008C3AC7" w:rsidRDefault="00FF0179" w:rsidP="00066E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8C3AC7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066E62"/>
    <w:rsid w:val="00086A13"/>
    <w:rsid w:val="00120365"/>
    <w:rsid w:val="00130C10"/>
    <w:rsid w:val="00147054"/>
    <w:rsid w:val="00151D2B"/>
    <w:rsid w:val="00190868"/>
    <w:rsid w:val="00197B21"/>
    <w:rsid w:val="001C0648"/>
    <w:rsid w:val="00207E94"/>
    <w:rsid w:val="00215B3F"/>
    <w:rsid w:val="0025053E"/>
    <w:rsid w:val="002A216E"/>
    <w:rsid w:val="002C5825"/>
    <w:rsid w:val="0032258B"/>
    <w:rsid w:val="00335828"/>
    <w:rsid w:val="003C1066"/>
    <w:rsid w:val="0040639B"/>
    <w:rsid w:val="00436D5F"/>
    <w:rsid w:val="004959BE"/>
    <w:rsid w:val="00536F63"/>
    <w:rsid w:val="0057311A"/>
    <w:rsid w:val="00603549"/>
    <w:rsid w:val="00641F15"/>
    <w:rsid w:val="00652D59"/>
    <w:rsid w:val="00677B45"/>
    <w:rsid w:val="006A4BB4"/>
    <w:rsid w:val="006F4E16"/>
    <w:rsid w:val="0071379C"/>
    <w:rsid w:val="00767A8C"/>
    <w:rsid w:val="0077556C"/>
    <w:rsid w:val="00775F31"/>
    <w:rsid w:val="00795BB0"/>
    <w:rsid w:val="007B2A71"/>
    <w:rsid w:val="00886CC7"/>
    <w:rsid w:val="008C3AC7"/>
    <w:rsid w:val="008C7B7F"/>
    <w:rsid w:val="008F1F14"/>
    <w:rsid w:val="00911087"/>
    <w:rsid w:val="00931A37"/>
    <w:rsid w:val="00970F0A"/>
    <w:rsid w:val="009D6A1F"/>
    <w:rsid w:val="009E417B"/>
    <w:rsid w:val="00A46294"/>
    <w:rsid w:val="00A47C54"/>
    <w:rsid w:val="00AC3E55"/>
    <w:rsid w:val="00B30989"/>
    <w:rsid w:val="00B71CEA"/>
    <w:rsid w:val="00B74060"/>
    <w:rsid w:val="00B85BEE"/>
    <w:rsid w:val="00B8793C"/>
    <w:rsid w:val="00BD5E31"/>
    <w:rsid w:val="00C07D5D"/>
    <w:rsid w:val="00C11621"/>
    <w:rsid w:val="00CD416F"/>
    <w:rsid w:val="00CF5995"/>
    <w:rsid w:val="00D3643E"/>
    <w:rsid w:val="00D63471"/>
    <w:rsid w:val="00D83E90"/>
    <w:rsid w:val="00D87C5C"/>
    <w:rsid w:val="00DA19CE"/>
    <w:rsid w:val="00DB1239"/>
    <w:rsid w:val="00DC2307"/>
    <w:rsid w:val="00DE1B51"/>
    <w:rsid w:val="00DF280A"/>
    <w:rsid w:val="00DF6235"/>
    <w:rsid w:val="00E44A87"/>
    <w:rsid w:val="00EE40C0"/>
    <w:rsid w:val="00EF22D4"/>
    <w:rsid w:val="00F23DCF"/>
    <w:rsid w:val="00F474E2"/>
    <w:rsid w:val="00F65384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7C07DCEE-7539-429F-9F76-EDD35EBC530C" TargetMode="External"/><Relationship Id="rId18" Type="http://schemas.openxmlformats.org/officeDocument/2006/relationships/hyperlink" Target="https://pravo-search.minjust.ru/bigs/showDocument.html?id=103BB42A-9DB8-45C4-8E50-7C53BF0DDFFE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hyperlink" Target="https://pravo-search.minjust.ru/bigs/showDocument.html?id=1C595A2D-682D-4BA6-8850-D3683C7DE4AB" TargetMode="External"/><Relationship Id="rId17" Type="http://schemas.openxmlformats.org/officeDocument/2006/relationships/hyperlink" Target="https://pravo-search.minjust.ru/bigs/showDocument.html?id=5BE3AE78-3347-4073-AE6F-96707F7BBCAA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8FA49ED-EAE5-4A91-A0F9-81EB6912D9D3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showDocument.html?id=4B713A73-14DE-4295-929D-9283DCC04E68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36F99B2E-02C2-4E4F-80C4-054EAA40C6DB" TargetMode="External"/><Relationship Id="rId22" Type="http://schemas.openxmlformats.org/officeDocument/2006/relationships/hyperlink" Target="https://pravo-search.minjust.ru/bigs/showDocument.html?id=03872D66-9A67-42F7-BFFE-447FE1E6B384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9594</Words>
  <Characters>54686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glava</cp:lastModifiedBy>
  <cp:revision>8</cp:revision>
  <dcterms:created xsi:type="dcterms:W3CDTF">2024-05-02T08:41:00Z</dcterms:created>
  <dcterms:modified xsi:type="dcterms:W3CDTF">2024-06-14T05:08:00Z</dcterms:modified>
</cp:coreProperties>
</file>